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4"/>
        <w:ind w:left="0"/>
        <w:jc w:val="right"/>
        <w:spacing w:before="0"/>
        <w:rPr>
          <w:rFonts w:ascii="Times New Roman"/>
          <w:sz w:val="20"/>
        </w:rPr>
      </w:pPr>
      <w:r>
        <w:rPr>
          <w:rFonts w:ascii="Times New Roman"/>
          <w:sz w:val="20"/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-113665</wp:posOffset>
                </wp:positionV>
                <wp:extent cx="693420" cy="3657600"/>
                <wp:effectExtent l="22860" t="19050" r="26670" b="19050"/>
                <wp:wrapNone/>
                <wp:docPr id="2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2096;o:allowoverlap:true;o:allowincell:true;mso-position-horizontal-relative:text;margin-left:-7.95pt;mso-position-horizontal:absolute;mso-position-vertical-relative:text;margin-top:-8.95pt;mso-position-vertical:absolute;width:54.60pt;height:288.00pt;mso-wrap-distance-left:9.00pt;mso-wrap-distance-top:0.00pt;mso-wrap-distance-right:9.00pt;mso-wrap-distance-bottom:0.00pt;visibility:visible;" fillcolor="#7F7F7F" strokecolor="#F2F2F2" strokeweight="3.00pt"/>
            </w:pict>
          </mc:Fallback>
        </mc:AlternateContent>
      </w:r>
      <w:r>
        <w:rPr>
          <w:rFonts w:ascii="Times New Roman"/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835" cy="426085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60083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6.05pt;height:33.5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724"/>
        <w:ind w:left="0"/>
        <w:spacing w:before="3"/>
        <w:rPr>
          <w:rFonts w:ascii="Times New Roman"/>
          <w:sz w:val="15"/>
        </w:rPr>
      </w:pPr>
      <w:r>
        <w:rPr>
          <w:rFonts w:ascii="Times New Roman"/>
          <w:sz w:val="15"/>
        </w:rPr>
      </w:r>
      <w:r>
        <w:rPr>
          <w:rFonts w:ascii="Times New Roman"/>
          <w:sz w:val="15"/>
        </w:rPr>
      </w:r>
    </w:p>
    <w:p>
      <w:pPr>
        <w:pStyle w:val="718"/>
        <w:rPr>
          <w:rFonts w:ascii="Times New Roman"/>
        </w:rPr>
      </w:pP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</w:r>
    </w:p>
    <w:p>
      <w:pPr>
        <w:pStyle w:val="724"/>
        <w:ind w:left="0"/>
        <w:jc w:val="center"/>
        <w:spacing w:before="5"/>
        <w:rPr>
          <w:rFonts w:ascii="Times New Roman"/>
          <w:sz w:val="19"/>
        </w:rPr>
      </w:pPr>
      <w:r>
        <w:rPr>
          <w:rFonts w:ascii="Times New Roman"/>
          <w:sz w:val="19"/>
          <w:lang w:bidi="ar-SA"/>
        </w:rPr>
        <w:t xml:space="preserve">              </w:t>
      </w:r>
      <w:r>
        <w:rPr>
          <w:rFonts w:ascii="Times New Roman"/>
          <w:sz w:val="19"/>
          <w:lang w:bidi="ar-SA"/>
        </w:rPr>
        <w:t xml:space="preserve">          </w:t>
      </w:r>
      <w:r>
        <w:rPr>
          <w:rFonts w:ascii="Times New Roman"/>
          <w:sz w:val="19"/>
          <w:lang w:bidi="ar-SA"/>
        </w:rPr>
      </w:r>
      <w:r>
        <w:rPr>
          <w:rFonts w:ascii="Times New Roman"/>
          <w:sz w:val="19"/>
        </w:rPr>
      </w:r>
    </w:p>
    <w:p>
      <w:pPr>
        <w:pStyle w:val="724"/>
        <w:ind w:left="0" w:firstLine="1276"/>
        <w:jc w:val="right"/>
        <w:spacing w:before="5"/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</w:r>
      <w:r>
        <w:rPr>
          <w:rFonts w:ascii="Times New Roman"/>
          <w:sz w:val="16"/>
          <w:szCs w:val="16"/>
        </w:rPr>
      </w:r>
    </w:p>
    <w:p>
      <w:pPr>
        <w:ind w:left="100" w:firstLine="1276"/>
        <w:jc w:val="right"/>
        <w:spacing w:before="18"/>
        <w:rPr>
          <w:b/>
          <w:color w:val="6d6e71"/>
          <w:sz w:val="16"/>
          <w:szCs w:val="16"/>
        </w:rPr>
      </w:pPr>
      <w:r>
        <w:rPr>
          <w:b/>
          <w:color w:val="6d6e71"/>
          <w:sz w:val="16"/>
          <w:szCs w:val="16"/>
        </w:rPr>
      </w:r>
      <w:r>
        <w:rPr>
          <w:b/>
          <w:color w:val="6d6e71"/>
          <w:sz w:val="16"/>
          <w:szCs w:val="16"/>
        </w:rPr>
      </w:r>
    </w:p>
    <w:p>
      <w:pPr>
        <w:ind w:left="100" w:firstLine="1276"/>
        <w:jc w:val="right"/>
        <w:spacing w:before="18"/>
        <w:rPr>
          <w:b/>
          <w:color w:val="6d6e71"/>
          <w:sz w:val="16"/>
          <w:szCs w:val="16"/>
        </w:rPr>
      </w:pPr>
      <w:r>
        <w:rPr>
          <w:b/>
          <w:color w:val="6d6e71"/>
          <w:sz w:val="16"/>
          <w:szCs w:val="16"/>
        </w:rPr>
      </w:r>
      <w:r>
        <w:rPr>
          <w:b/>
          <w:color w:val="6d6e71"/>
          <w:sz w:val="16"/>
          <w:szCs w:val="16"/>
        </w:rPr>
      </w:r>
    </w:p>
    <w:p>
      <w:pPr>
        <w:ind w:left="100" w:right="338" w:firstLine="1276"/>
        <w:jc w:val="right"/>
        <w:spacing w:before="18"/>
        <w:rPr>
          <w:b/>
          <w:sz w:val="16"/>
          <w:szCs w:val="16"/>
        </w:rPr>
      </w:pPr>
      <w:r>
        <w:rPr>
          <w:b/>
          <w:color w:val="6d6e71"/>
          <w:sz w:val="16"/>
          <w:szCs w:val="16"/>
        </w:rPr>
        <w:t xml:space="preserve">ПАСПОРТ</w:t>
      </w:r>
      <w:r>
        <w:rPr>
          <w:b/>
          <w:sz w:val="16"/>
          <w:szCs w:val="16"/>
        </w:rPr>
      </w:r>
    </w:p>
    <w:p>
      <w:pPr>
        <w:pStyle w:val="718"/>
        <w:ind w:left="100" w:right="338" w:firstLine="1176"/>
        <w:jc w:val="center"/>
        <w:spacing w:before="1" w:line="247" w:lineRule="auto"/>
        <w:rPr>
          <w:sz w:val="16"/>
          <w:szCs w:val="16"/>
        </w:rPr>
        <w:sectPr>
          <w:footnotePr/>
          <w:endnotePr/>
          <w:type w:val="continuous"/>
          <w:pgSz w:w="4200" w:h="5960" w:orient="portrait"/>
          <w:pgMar w:top="284" w:right="220" w:bottom="280" w:left="240" w:header="720" w:footer="720" w:gutter="0"/>
          <w:cols w:num="1" w:sep="0" w:space="720" w:equalWidth="1"/>
          <w:docGrid w:linePitch="360"/>
        </w:sectPr>
      </w:pPr>
      <w:r>
        <w:rPr>
          <w:color w:val="6d6e71"/>
          <w:sz w:val="16"/>
          <w:szCs w:val="16"/>
        </w:rPr>
        <w:t xml:space="preserve">  </w:t>
      </w:r>
      <w:r>
        <w:rPr>
          <w:color w:val="6d6e71"/>
          <w:sz w:val="16"/>
          <w:szCs w:val="16"/>
        </w:rPr>
        <w:t xml:space="preserve">Выключатели</w:t>
      </w:r>
      <w:r>
        <w:rPr>
          <w:color w:val="6d6e71"/>
          <w:sz w:val="16"/>
          <w:szCs w:val="16"/>
        </w:rPr>
        <w:t xml:space="preserve"> а</w:t>
      </w:r>
      <w:r>
        <w:rPr>
          <w:color w:val="6d6e71"/>
          <w:sz w:val="16"/>
          <w:szCs w:val="16"/>
        </w:rPr>
        <w:t xml:space="preserve">втоматические </w:t>
      </w:r>
      <w:r>
        <w:rPr>
          <w:color w:val="6d6e71"/>
          <w:sz w:val="16"/>
          <w:szCs w:val="16"/>
        </w:rPr>
        <w:tab/>
        <w:t xml:space="preserve">                                    </w:t>
      </w:r>
      <w:r>
        <w:rPr>
          <w:color w:val="6d6e71"/>
          <w:sz w:val="16"/>
          <w:szCs w:val="16"/>
        </w:rPr>
        <w:t xml:space="preserve">       </w:t>
      </w:r>
      <w:r>
        <w:rPr>
          <w:color w:val="6d6e71"/>
          <w:sz w:val="16"/>
          <w:szCs w:val="16"/>
        </w:rPr>
        <w:t xml:space="preserve">серии </w:t>
      </w:r>
      <w:r>
        <w:rPr>
          <w:color w:val="6d6e71"/>
          <w:sz w:val="16"/>
          <w:szCs w:val="16"/>
        </w:rPr>
        <w:t xml:space="preserve">ВА</w:t>
      </w:r>
      <w:r>
        <w:rPr>
          <w:color w:val="6d6e71"/>
          <w:sz w:val="16"/>
          <w:szCs w:val="16"/>
        </w:rPr>
        <w:t xml:space="preserve">88</w:t>
      </w:r>
      <w:r>
        <w:rPr>
          <w:sz w:val="16"/>
          <w:szCs w:val="16"/>
        </w:rPr>
      </w:r>
    </w:p>
    <w:p>
      <w:pPr>
        <w:pStyle w:val="719"/>
        <w:numPr>
          <w:ilvl w:val="0"/>
          <w:numId w:val="2"/>
        </w:numPr>
        <w:tabs>
          <w:tab w:val="left" w:pos="222" w:leader="none"/>
        </w:tabs>
      </w:pPr>
      <w:r>
        <w:rPr>
          <w:color w:val="231f20"/>
          <w:spacing w:val="4"/>
        </w:rPr>
        <w:t xml:space="preserve">НАЗНАЧЕНИЕ</w:t>
      </w:r>
      <w:r/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Выключатель автоматический ВА88 торговой марки АТРИОН предназначен для защиты</w:t>
      </w:r>
      <w:r>
        <w:rPr>
          <w:rFonts w:cs="Arial"/>
          <w:sz w:val="12"/>
          <w:szCs w:val="12"/>
        </w:rPr>
        <w:t xml:space="preserve"> в электрических цепях переменного тока частотой 50/60Гц напряжением до 690В с рабочими токами до 630А от перегрузок и коротких замыканий, нечастых оперативных включений и отключений цепей с частотой не более 30 раз в сутки. Выключатели соответствуют ГОСТ </w:t>
      </w:r>
      <w:r>
        <w:rPr>
          <w:rFonts w:cs="Arial"/>
          <w:sz w:val="12"/>
          <w:szCs w:val="12"/>
          <w:lang w:val="en-US"/>
        </w:rPr>
        <w:t xml:space="preserve">IEC 60947-2</w:t>
      </w:r>
      <w:r>
        <w:rPr>
          <w:rFonts w:cs="Arial"/>
          <w:sz w:val="12"/>
          <w:szCs w:val="12"/>
        </w:rPr>
        <w:t xml:space="preserve">.</w:t>
      </w:r>
      <w:r>
        <w:rPr>
          <w:rFonts w:cs="Arial"/>
          <w:sz w:val="12"/>
          <w:szCs w:val="12"/>
        </w:rPr>
      </w:r>
    </w:p>
    <w:p>
      <w:pPr>
        <w:pStyle w:val="724"/>
        <w:ind w:right="118" w:firstLine="56"/>
        <w:jc w:val="both"/>
        <w:spacing w:before="2" w:line="249" w:lineRule="auto"/>
      </w:pPr>
      <w:r/>
      <w:r/>
    </w:p>
    <w:p>
      <w:pPr>
        <w:pStyle w:val="719"/>
        <w:numPr>
          <w:ilvl w:val="0"/>
          <w:numId w:val="2"/>
        </w:numPr>
        <w:jc w:val="both"/>
        <w:spacing w:before="58"/>
        <w:tabs>
          <w:tab w:val="left" w:pos="222" w:leader="none"/>
        </w:tabs>
      </w:pPr>
      <w:r>
        <w:rPr>
          <w:color w:val="231f20"/>
          <w:spacing w:val="3"/>
        </w:rPr>
        <w:t xml:space="preserve">ТЕХНИЧЕСКИЕ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 xml:space="preserve">ХАРАКТЕРИСТИКИ</w:t>
      </w:r>
      <w:r/>
    </w:p>
    <w:p>
      <w:pPr>
        <w:pStyle w:val="719"/>
        <w:ind w:firstLine="0"/>
        <w:jc w:val="both"/>
        <w:spacing w:before="58"/>
        <w:tabs>
          <w:tab w:val="left" w:pos="222" w:leader="none"/>
        </w:tabs>
        <w:rPr>
          <w:rFonts w:cs="Arial"/>
          <w:b w:val="0"/>
        </w:rPr>
      </w:pPr>
      <w:r>
        <w:rPr>
          <w:rFonts w:cs="Arial"/>
          <w:b w:val="0"/>
        </w:rPr>
        <w:t xml:space="preserve">Выключатель автоматический </w:t>
      </w:r>
      <w:r>
        <w:rPr>
          <w:rFonts w:cs="Arial"/>
          <w:b w:val="0"/>
        </w:rPr>
        <w:t xml:space="preserve">ВА88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выпускается с комбинированным расцепителем (тепловой и электромагнитный). Температура настройки расцепителя       </w:t>
      </w:r>
      <w:r>
        <w:rPr>
          <w:rFonts w:cs="Arial"/>
          <w:b w:val="0"/>
        </w:rPr>
        <w:t xml:space="preserve">   </w:t>
      </w:r>
      <w:r>
        <w:rPr>
          <w:rFonts w:cs="Arial"/>
          <w:b w:val="0"/>
        </w:rPr>
        <w:t xml:space="preserve"> + 40 </w:t>
      </w:r>
      <w:r>
        <w:rPr>
          <w:rFonts w:cs="Arial"/>
          <w:b w:val="0"/>
          <w:vertAlign w:val="superscript"/>
        </w:rPr>
        <w:t xml:space="preserve">0</w:t>
      </w:r>
      <w:r>
        <w:rPr>
          <w:rFonts w:cs="Arial"/>
          <w:b w:val="0"/>
        </w:rPr>
        <w:t xml:space="preserve">С. Электромагнитный расцепитель токов короткого замыкания должен вызывать размыкание выключателя с погрешностью ± 20% от значения тока срабатывания т</w:t>
      </w:r>
      <w:r>
        <w:rPr>
          <w:rFonts w:cs="Arial"/>
          <w:b w:val="0"/>
        </w:rPr>
        <w:t xml:space="preserve">оковой ставки. Тепловой расцепитель срабатывает с обратнозависимой выдержкой времени и должен вызывать размыкание выключателя с погрешностью ±10% от значения тока срабатывания уставки теплового расцепителя. Расцепители регулируют и калибруют на заводе-изго</w:t>
      </w:r>
      <w:r>
        <w:rPr>
          <w:rFonts w:cs="Arial"/>
          <w:b w:val="0"/>
        </w:rPr>
        <w:t xml:space="preserve">товителе, и доступ к ним при эксплуатации запрещён. </w:t>
      </w:r>
      <w:r>
        <w:rPr>
          <w:rFonts w:cs="Arial"/>
          <w:b w:val="0"/>
        </w:rPr>
        <w:t xml:space="preserve">Технические характеристики</w:t>
      </w:r>
      <w:r>
        <w:rPr>
          <w:rFonts w:cs="Arial"/>
          <w:b w:val="0"/>
        </w:rPr>
        <w:t xml:space="preserve"> выключателей в зависимости от типоисполнения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приведены в таблице 2.1</w:t>
      </w:r>
      <w:r>
        <w:rPr>
          <w:rFonts w:cs="Arial"/>
          <w:b w:val="0"/>
        </w:rPr>
        <w:t xml:space="preserve"> и 2</w:t>
      </w:r>
      <w:r>
        <w:rPr>
          <w:rFonts w:cs="Arial"/>
          <w:b w:val="0"/>
        </w:rPr>
        <w:t xml:space="preserve">.</w:t>
      </w:r>
      <w:r>
        <w:rPr>
          <w:rFonts w:cs="Arial"/>
          <w:b w:val="0"/>
        </w:rPr>
        <w:t xml:space="preserve">2.</w:t>
      </w:r>
      <w:r>
        <w:rPr>
          <w:rFonts w:cs="Arial"/>
          <w:b w:val="0"/>
        </w:rPr>
        <w:t xml:space="preserve"> Выключатель автоматический </w:t>
      </w:r>
      <w:r>
        <w:rPr>
          <w:rFonts w:cs="Arial"/>
          <w:b w:val="0"/>
        </w:rPr>
        <w:t xml:space="preserve">ВА88 имеет фиксированные уставки теплового и электромагнитного расцепителя, время-токовые характеристики и зависимость значения номинального тока от температуры окружающей среды ВА88 </w:t>
      </w:r>
      <w:r>
        <w:rPr>
          <w:rFonts w:cs="Arial"/>
          <w:b w:val="0"/>
        </w:rPr>
        <w:t xml:space="preserve">приведены на </w:t>
      </w:r>
      <w:r>
        <w:rPr>
          <w:rFonts w:cs="Arial"/>
          <w:b w:val="0"/>
        </w:rPr>
        <w:t xml:space="preserve">  </w:t>
      </w:r>
      <w:r>
        <w:rPr>
          <w:rFonts w:cs="Arial"/>
          <w:b w:val="0"/>
        </w:rPr>
        <w:t xml:space="preserve">рисунке </w:t>
      </w:r>
      <w:r>
        <w:rPr>
          <w:rFonts w:cs="Arial"/>
          <w:b w:val="0"/>
        </w:rPr>
        <w:t xml:space="preserve">2.1 и 2.2</w:t>
      </w:r>
      <w:r>
        <w:rPr>
          <w:rFonts w:cs="Arial"/>
          <w:b w:val="0"/>
        </w:rPr>
        <w:t xml:space="preserve">.</w:t>
      </w:r>
      <w:r>
        <w:rPr>
          <w:rFonts w:cs="Arial"/>
          <w:b w:val="0"/>
        </w:rPr>
      </w:r>
    </w:p>
    <w:p>
      <w:pPr>
        <w:pStyle w:val="719"/>
        <w:ind w:firstLine="0"/>
        <w:jc w:val="both"/>
        <w:spacing w:before="58"/>
        <w:tabs>
          <w:tab w:val="left" w:pos="222" w:leader="none"/>
        </w:tabs>
        <w:rPr>
          <w:rFonts w:cs="Arial"/>
          <w:b w:val="0"/>
        </w:rPr>
      </w:pPr>
      <w:r>
        <w:rPr>
          <w:rFonts w:cs="Arial"/>
          <w:b w:val="0"/>
        </w:rPr>
      </w:r>
      <w:r>
        <w:rPr>
          <w:rFonts w:cs="Arial"/>
          <w:b w:val="0"/>
        </w:rPr>
      </w:r>
    </w:p>
    <w:p>
      <w:pPr>
        <w:pStyle w:val="719"/>
        <w:ind w:firstLine="0"/>
        <w:jc w:val="both"/>
        <w:spacing w:before="58"/>
        <w:tabs>
          <w:tab w:val="left" w:pos="222" w:leader="none"/>
        </w:tabs>
        <w:rPr>
          <w:rFonts w:cs="Arial"/>
          <w:b w:val="0"/>
        </w:rPr>
      </w:pPr>
      <w:r>
        <w:rPr>
          <w:rFonts w:cs="Arial"/>
          <w:b w:val="0"/>
        </w:rPr>
      </w:r>
      <w:r>
        <w:rPr>
          <w:rFonts w:cs="Arial"/>
          <w:b w:val="0"/>
        </w:rPr>
      </w:r>
    </w:p>
    <w:p>
      <w:pPr>
        <w:pStyle w:val="719"/>
        <w:ind w:firstLine="0"/>
        <w:jc w:val="both"/>
        <w:spacing w:before="58"/>
        <w:tabs>
          <w:tab w:val="left" w:pos="222" w:leader="none"/>
        </w:tabs>
        <w:rPr>
          <w:rFonts w:cs="Arial"/>
          <w:b w:val="0"/>
        </w:rPr>
      </w:pPr>
      <w:r>
        <w:rPr>
          <w:rFonts w:cs="Arial"/>
          <w:b w:val="0"/>
        </w:rPr>
      </w:r>
      <w:r>
        <w:rPr>
          <w:rFonts w:cs="Arial"/>
          <w:b w:val="0"/>
        </w:rPr>
      </w:r>
    </w:p>
    <w:p>
      <w:pPr>
        <w:pStyle w:val="719"/>
        <w:ind w:firstLine="0"/>
        <w:jc w:val="both"/>
        <w:spacing w:before="58"/>
        <w:tabs>
          <w:tab w:val="left" w:pos="222" w:leader="none"/>
        </w:tabs>
        <w:rPr>
          <w:rFonts w:cs="Arial"/>
          <w:b w:val="0"/>
        </w:rPr>
      </w:pPr>
      <w:r>
        <w:rPr>
          <w:rFonts w:cs="Arial"/>
          <w:b w:val="0"/>
        </w:rPr>
      </w:r>
      <w:r>
        <w:rPr>
          <w:rFonts w:cs="Arial"/>
          <w:b w:val="0"/>
        </w:rPr>
      </w:r>
    </w:p>
    <w:p>
      <w:pPr>
        <w:pStyle w:val="719"/>
        <w:ind w:firstLine="0"/>
        <w:jc w:val="both"/>
        <w:spacing w:before="58"/>
        <w:tabs>
          <w:tab w:val="left" w:pos="222" w:leader="none"/>
        </w:tabs>
        <w:rPr>
          <w:rFonts w:cs="Arial"/>
          <w:b w:val="0"/>
        </w:rPr>
      </w:pPr>
      <w:r>
        <w:rPr>
          <w:rFonts w:cs="Arial"/>
          <w:b w:val="0"/>
        </w:rPr>
      </w:r>
      <w:r>
        <w:rPr>
          <w:rFonts w:cs="Arial"/>
          <w:b w:val="0"/>
        </w:rPr>
      </w:r>
    </w:p>
    <w:p>
      <w:pPr>
        <w:pStyle w:val="719"/>
        <w:ind w:firstLine="0"/>
        <w:jc w:val="both"/>
        <w:spacing w:before="58"/>
        <w:tabs>
          <w:tab w:val="left" w:pos="222" w:leader="none"/>
        </w:tabs>
        <w:rPr>
          <w:rFonts w:cs="Arial"/>
          <w:b w:val="0"/>
        </w:rPr>
      </w:pPr>
      <w:r>
        <w:rPr>
          <w:rFonts w:cs="Arial"/>
          <w:b w:val="0"/>
        </w:rPr>
      </w:r>
      <w:r>
        <w:rPr>
          <w:rFonts w:cs="Arial"/>
          <w:b w:val="0"/>
        </w:rPr>
      </w:r>
    </w:p>
    <w:p>
      <w:pPr>
        <w:pStyle w:val="724"/>
        <w:ind w:left="0" w:right="118"/>
        <w:jc w:val="right"/>
        <w:spacing w:before="50" w:after="38"/>
      </w:pPr>
      <w:r>
        <w:rPr>
          <w:color w:val="231f20"/>
        </w:rPr>
        <w:t xml:space="preserve">Таблица 2.1</w:t>
      </w:r>
      <w:r/>
    </w:p>
    <w:p>
      <w:pPr>
        <w:rPr>
          <w:sz w:val="10"/>
        </w:rPr>
      </w:pPr>
      <w:r>
        <w:rPr>
          <w:sz w:val="1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4900" cy="937260"/>
                <wp:effectExtent l="0" t="0" r="6350" b="0"/>
                <wp:docPr id="4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ВА88 тех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374900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87.00pt;height:73.8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10"/>
        </w:rPr>
      </w:r>
    </w:p>
    <w:p>
      <w:pPr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pStyle w:val="724"/>
        <w:ind w:left="0" w:right="118"/>
        <w:jc w:val="right"/>
        <w:spacing w:before="50" w:after="38"/>
      </w:pPr>
      <w:r>
        <w:rPr>
          <w:color w:val="231f20"/>
        </w:rPr>
        <w:t xml:space="preserve">Т</w:t>
      </w:r>
      <w:r>
        <w:rPr>
          <w:color w:val="231f20"/>
        </w:rPr>
        <w:t xml:space="preserve">абли</w:t>
      </w:r>
      <w:r>
        <w:rPr>
          <w:color w:val="231f20"/>
        </w:rPr>
        <w:t xml:space="preserve">ца 2</w:t>
      </w:r>
      <w:r>
        <w:rPr>
          <w:color w:val="231f20"/>
        </w:rPr>
        <w:t xml:space="preserve">.2</w:t>
      </w:r>
      <w:r/>
    </w:p>
    <w:p>
      <w:pPr>
        <w:rPr>
          <w:sz w:val="10"/>
        </w:rPr>
      </w:pPr>
      <w:r>
        <w:rPr>
          <w:sz w:val="1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4900" cy="951230"/>
                <wp:effectExtent l="0" t="0" r="6350" b="1270"/>
                <wp:docPr id="5" name="Рисунок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ВА88 тех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4900" cy="951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87.00pt;height:74.9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10"/>
        </w:rPr>
      </w:r>
    </w:p>
    <w:p>
      <w:pPr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tabs>
          <w:tab w:val="left" w:pos="769" w:leader="none"/>
        </w:tabs>
        <w:rPr>
          <w:sz w:val="10"/>
        </w:rPr>
        <w:sectPr>
          <w:footerReference w:type="default" r:id="rId9"/>
          <w:footnotePr/>
          <w:endnotePr/>
          <w:type w:val="nextPage"/>
          <w:pgSz w:w="4200" w:h="5960" w:orient="portrait"/>
          <w:pgMar w:top="220" w:right="220" w:bottom="260" w:left="240" w:header="0" w:footer="70" w:gutter="0"/>
          <w:pgNumType w:start="2"/>
          <w:cols w:num="1" w:sep="0" w:space="720" w:equalWidth="1"/>
          <w:docGrid w:linePitch="360"/>
        </w:sectPr>
      </w:pPr>
      <w:r>
        <w:rPr>
          <w:sz w:val="10"/>
        </w:rPr>
        <w:tab/>
      </w:r>
      <w:bookmarkStart w:id="0" w:name="_GoBack"/>
      <w:r/>
      <w:bookmarkEnd w:id="0"/>
      <w:r/>
      <w:r>
        <w:rPr>
          <w:sz w:val="10"/>
        </w:rPr>
      </w:r>
    </w:p>
    <w:p>
      <w:pPr>
        <w:pStyle w:val="724"/>
        <w:ind w:firstLine="56"/>
        <w:jc w:val="center"/>
        <w:spacing w:before="79" w:line="249" w:lineRule="auto"/>
      </w:pPr>
      <w:r>
        <w:rPr>
          <w:lang w:bidi="ar-SA"/>
        </w:rPr>
      </w: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3630" cy="2941320"/>
                <wp:effectExtent l="0" t="0" r="0" b="0"/>
                <wp:docPr id="6" name="Рисунок 10" descr="C:\Users\Admin\Desktop\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Admin\Desktop\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3630" cy="294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86.90pt;height:231.6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724"/>
        <w:ind w:left="179" w:right="196"/>
        <w:jc w:val="center"/>
        <w:spacing w:before="123"/>
      </w:pPr>
      <w:r>
        <w:rPr>
          <w:color w:val="231f20"/>
        </w:rPr>
        <w:t xml:space="preserve">Рис. </w:t>
      </w:r>
      <w:r>
        <w:rPr>
          <w:color w:val="231f20"/>
        </w:rPr>
        <w:t xml:space="preserve">2.</w:t>
      </w:r>
      <w:r>
        <w:rPr>
          <w:color w:val="231f20"/>
        </w:rPr>
        <w:t xml:space="preserve">1 Время-токовая</w:t>
      </w:r>
      <w:r>
        <w:rPr>
          <w:color w:val="231f20"/>
        </w:rPr>
        <w:t xml:space="preserve"> характеристика </w:t>
      </w:r>
      <w:r>
        <w:rPr>
          <w:color w:val="231f20"/>
        </w:rPr>
        <w:t xml:space="preserve">выключателя ВА88</w:t>
      </w:r>
      <w:r/>
    </w:p>
    <w:p>
      <w:pPr>
        <w:pStyle w:val="724"/>
        <w:ind w:left="0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724"/>
        <w:ind w:left="0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724"/>
        <w:ind w:left="0"/>
        <w:rPr>
          <w:sz w:val="25"/>
        </w:rPr>
      </w:pPr>
      <w:r>
        <w:rPr>
          <w:sz w:val="25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4900" cy="1541780"/>
                <wp:effectExtent l="0" t="0" r="6350" b="1270"/>
                <wp:docPr id="7" name="Рисунок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900" cy="154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87.00pt;height:121.4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5"/>
        </w:rPr>
      </w:r>
    </w:p>
    <w:p>
      <w:pPr>
        <w:pStyle w:val="724"/>
        <w:ind w:left="0"/>
        <w:rPr>
          <w:sz w:val="25"/>
        </w:rPr>
      </w:pPr>
      <w:r>
        <w:rPr>
          <w:lang w:bidi="ar-SA"/>
        </w:rPr>
      </w:r>
      <w:r>
        <w:rPr>
          <w:sz w:val="25"/>
        </w:rPr>
      </w:r>
    </w:p>
    <w:p>
      <w:pPr>
        <w:pStyle w:val="724"/>
        <w:ind w:left="179" w:right="196"/>
        <w:jc w:val="center"/>
        <w:spacing w:before="50"/>
        <w:sectPr>
          <w:footnotePr/>
          <w:endnotePr/>
          <w:type w:val="nextPage"/>
          <w:pgSz w:w="4200" w:h="5960" w:orient="portrait"/>
          <w:pgMar w:top="220" w:right="220" w:bottom="260" w:left="240" w:header="0" w:footer="70" w:gutter="0"/>
          <w:cols w:num="1" w:sep="0" w:space="720" w:equalWidth="1"/>
          <w:docGrid w:linePitch="360"/>
        </w:sectPr>
      </w:pPr>
      <w:r>
        <w:rPr>
          <w:color w:val="231f20"/>
        </w:rPr>
        <w:t xml:space="preserve">Рис. 2</w:t>
      </w:r>
      <w:r>
        <w:rPr>
          <w:color w:val="231f20"/>
        </w:rPr>
        <w:t xml:space="preserve">.2</w:t>
      </w:r>
      <w:r>
        <w:rPr>
          <w:color w:val="231f20"/>
        </w:rPr>
        <w:t xml:space="preserve"> </w:t>
      </w:r>
      <w:r>
        <w:rPr>
          <w:color w:val="231f20"/>
        </w:rPr>
        <w:t xml:space="preserve"> График зависимости значения номинального тока ВА88 от  температуры окружающей среды</w:t>
      </w:r>
      <w:r/>
    </w:p>
    <w:p>
      <w:pPr>
        <w:pStyle w:val="719"/>
        <w:numPr>
          <w:ilvl w:val="0"/>
          <w:numId w:val="2"/>
        </w:numPr>
        <w:tabs>
          <w:tab w:val="left" w:pos="222" w:leader="none"/>
        </w:tabs>
      </w:pPr>
      <w:r>
        <w:rPr>
          <w:color w:val="231f20"/>
          <w:spacing w:val="3"/>
        </w:rPr>
        <w:t xml:space="preserve">Устройство изделия и габаритные размеры</w:t>
      </w:r>
      <w:r/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Выключатель автоматический серии ВА88 состоит из корпуса, в котором расположены: электромагнитный и тепловой расцепители, дугогасительная</w:t>
      </w:r>
      <w:r>
        <w:rPr>
          <w:rFonts w:cs="Arial"/>
          <w:sz w:val="12"/>
          <w:szCs w:val="12"/>
        </w:rPr>
        <w:t xml:space="preserve"> </w:t>
      </w:r>
      <w:r>
        <w:rPr>
          <w:rFonts w:cs="Arial"/>
          <w:sz w:val="12"/>
          <w:szCs w:val="12"/>
        </w:rPr>
        <w:t xml:space="preserve">камера, подвижный и неподвижный контакты, механизм свободного расцепления. Корпус выключателя изготовлен из не поддерживающей горение пластмассы. Габаритные и установочные размеры приведены на рисунке 3</w:t>
      </w:r>
      <w:r>
        <w:rPr>
          <w:rFonts w:cs="Arial"/>
          <w:sz w:val="12"/>
          <w:szCs w:val="12"/>
        </w:rPr>
        <w:t xml:space="preserve">.1</w:t>
      </w:r>
      <w:r>
        <w:rPr>
          <w:rFonts w:cs="Arial"/>
          <w:sz w:val="12"/>
          <w:szCs w:val="12"/>
        </w:rPr>
        <w:t xml:space="preserve">, таблице 3</w:t>
      </w:r>
      <w:r>
        <w:rPr>
          <w:rFonts w:cs="Arial"/>
          <w:sz w:val="12"/>
          <w:szCs w:val="12"/>
        </w:rPr>
        <w:t xml:space="preserve">.1</w:t>
      </w:r>
      <w:r>
        <w:rPr>
          <w:rFonts w:cs="Arial"/>
          <w:sz w:val="12"/>
          <w:szCs w:val="12"/>
        </w:rPr>
        <w:t xml:space="preserve">.</w:t>
      </w:r>
      <w:r>
        <w:rPr>
          <w:rFonts w:cs="Arial"/>
          <w:sz w:val="12"/>
          <w:szCs w:val="12"/>
        </w:rPr>
      </w:r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  <w:r>
        <w:rPr>
          <w:rFonts w:cs="Arial"/>
          <w:sz w:val="12"/>
          <w:szCs w:val="12"/>
        </w:rPr>
      </w:r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75030" cy="1135380"/>
                <wp:effectExtent l="0" t="0" r="0" b="0"/>
                <wp:docPr id="8" name="Рисунок 49" descr="C:\Users\Admin\Desktop\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C:\Users\Admin\Desktop\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87503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68.90pt;height:89.4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cs="Arial"/>
          <w:sz w:val="12"/>
          <w:szCs w:val="12"/>
        </w:rPr>
        <w:t xml:space="preserve">              </w:t>
      </w:r>
      <w:r>
        <w:rPr>
          <w:rFonts w:cs="Arial"/>
          <w:sz w:val="12"/>
          <w:szCs w:val="12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045" cy="1062990"/>
                <wp:effectExtent l="0" t="0" r="0" b="0"/>
                <wp:docPr id="9" name="Рисунок 44" descr="C:\Users\Admin\Desktop\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C:\Users\Admin\Desktop\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1404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8.35pt;height:83.7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cs="Arial"/>
          <w:sz w:val="12"/>
          <w:szCs w:val="12"/>
        </w:rPr>
      </w:r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</w:t>
      </w:r>
      <w:r>
        <w:rPr>
          <w:rFonts w:cs="Arial"/>
          <w:sz w:val="12"/>
          <w:szCs w:val="12"/>
        </w:rPr>
      </w:r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  </w:t>
      </w:r>
      <w:r>
        <w:rPr>
          <w:rFonts w:cs="Arial"/>
          <w:sz w:val="12"/>
          <w:szCs w:val="12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6435" cy="1000125"/>
                <wp:effectExtent l="0" t="0" r="0" b="0"/>
                <wp:docPr id="10" name="Рисунок 50" descr="C:\Users\Admin\Desktop\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C:\Users\Admin\Desktop\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864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54.05pt;height:78.7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cs="Arial"/>
          <w:sz w:val="12"/>
          <w:szCs w:val="12"/>
        </w:rPr>
      </w:r>
    </w:p>
    <w:p>
      <w:pPr>
        <w:pStyle w:val="724"/>
        <w:ind w:left="0"/>
        <w:spacing w:before="8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p>
      <w:pPr>
        <w:pStyle w:val="724"/>
        <w:ind w:left="0"/>
        <w:spacing w:before="8"/>
        <w:rPr>
          <w:b/>
          <w:sz w:val="10"/>
        </w:rPr>
      </w:pPr>
      <w:r>
        <w:t xml:space="preserve">Рис. 3</w:t>
      </w:r>
      <w:r>
        <w:t xml:space="preserve">.1</w:t>
      </w:r>
      <w:r>
        <w:t xml:space="preserve"> Габаритные и установочные размеры выключателя ВА88</w:t>
      </w:r>
      <w:r>
        <w:rPr>
          <w:b/>
          <w:sz w:val="10"/>
        </w:rPr>
      </w:r>
    </w:p>
    <w:p>
      <w:pPr>
        <w:pStyle w:val="724"/>
        <w:ind w:left="0"/>
        <w:spacing w:before="8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p>
      <w:pPr>
        <w:pStyle w:val="724"/>
        <w:ind w:left="0"/>
        <w:spacing w:before="8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p>
      <w:pPr>
        <w:pStyle w:val="724"/>
        <w:ind w:left="0"/>
        <w:spacing w:before="8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p>
      <w:pPr>
        <w:pStyle w:val="725"/>
        <w:ind w:firstLine="0"/>
        <w:jc w:val="center"/>
        <w:spacing w:before="79"/>
        <w:tabs>
          <w:tab w:val="left" w:pos="222" w:leader="none"/>
        </w:tabs>
        <w:rPr>
          <w:rFonts w:cs="Arial"/>
          <w:sz w:val="12"/>
        </w:rPr>
      </w:pPr>
      <w:r>
        <w:rPr>
          <w:rFonts w:cs="Arial"/>
          <w:sz w:val="12"/>
        </w:rPr>
        <w:t xml:space="preserve">                                                                                  </w:t>
      </w:r>
      <w:r>
        <w:rPr>
          <w:rFonts w:cs="Arial"/>
          <w:sz w:val="12"/>
        </w:rPr>
        <w:t xml:space="preserve">Таблица 3</w:t>
      </w:r>
      <w:r>
        <w:rPr>
          <w:rFonts w:cs="Arial"/>
          <w:sz w:val="12"/>
        </w:rPr>
        <w:t xml:space="preserve">.1</w:t>
      </w:r>
      <w:r>
        <w:rPr>
          <w:rFonts w:cs="Arial"/>
          <w:sz w:val="12"/>
        </w:rPr>
      </w:r>
    </w:p>
    <w:p>
      <w:pPr>
        <w:pStyle w:val="725"/>
        <w:ind w:left="0" w:firstLine="0"/>
        <w:spacing w:before="79"/>
        <w:tabs>
          <w:tab w:val="left" w:pos="222" w:leader="none"/>
        </w:tabs>
        <w:rPr>
          <w:sz w:val="12"/>
        </w:rPr>
      </w:pPr>
      <w:r>
        <w:rPr>
          <w:sz w:val="12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0455" cy="980440"/>
                <wp:effectExtent l="0" t="0" r="0" b="0"/>
                <wp:docPr id="11" name="Рисунок 55" descr="C:\Users\Admin\Desktop\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C:\Users\Admin\Desktop\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370454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86.65pt;height:77.2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sz w:val="12"/>
        </w:rPr>
      </w:r>
    </w:p>
    <w:p>
      <w:pPr>
        <w:pStyle w:val="725"/>
        <w:ind w:left="0" w:firstLine="0"/>
        <w:spacing w:before="79"/>
        <w:tabs>
          <w:tab w:val="left" w:pos="222" w:leader="none"/>
        </w:tabs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725"/>
        <w:numPr>
          <w:ilvl w:val="0"/>
          <w:numId w:val="2"/>
        </w:numPr>
        <w:spacing w:before="79"/>
        <w:tabs>
          <w:tab w:val="left" w:pos="222" w:leader="none"/>
        </w:tabs>
        <w:rPr>
          <w:b/>
          <w:sz w:val="12"/>
        </w:rPr>
      </w:pPr>
      <w:r>
        <w:rPr>
          <w:b/>
          <w:color w:val="231f20"/>
          <w:spacing w:val="3"/>
          <w:sz w:val="12"/>
        </w:rPr>
        <w:t xml:space="preserve">ОСОБЕННОСТИ ЭКСПЛУАТАЦИИ </w:t>
      </w:r>
      <w:r>
        <w:rPr>
          <w:b/>
          <w:color w:val="231f20"/>
          <w:sz w:val="12"/>
        </w:rPr>
        <w:t xml:space="preserve">И</w:t>
      </w:r>
      <w:r>
        <w:rPr>
          <w:b/>
          <w:color w:val="231f20"/>
          <w:spacing w:val="-23"/>
          <w:sz w:val="12"/>
        </w:rPr>
        <w:t xml:space="preserve"> </w:t>
      </w:r>
      <w:r>
        <w:rPr>
          <w:b/>
          <w:color w:val="231f20"/>
          <w:spacing w:val="-23"/>
          <w:sz w:val="12"/>
        </w:rPr>
        <w:t xml:space="preserve">   </w:t>
      </w:r>
      <w:r>
        <w:rPr>
          <w:b/>
          <w:color w:val="231f20"/>
          <w:spacing w:val="4"/>
          <w:sz w:val="12"/>
        </w:rPr>
        <w:t xml:space="preserve">МОНТАЖА</w:t>
      </w:r>
      <w:r>
        <w:rPr>
          <w:b/>
          <w:sz w:val="12"/>
        </w:rPr>
      </w:r>
    </w:p>
    <w:p>
      <w:pPr>
        <w:ind w:left="100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Выключатели устанавливаются на металлической панели толщиной не менее 1,5 мм или из</w:t>
      </w:r>
      <w:r>
        <w:rPr>
          <w:rFonts w:cs="Arial"/>
          <w:sz w:val="12"/>
          <w:szCs w:val="12"/>
        </w:rPr>
        <w:t xml:space="preserve">оляционной панели толщиной не менее 6 мм и закрепляются винтами, входящими в комплект поставки. Подключение соответствующих гибких проводников или шин осуществляется с помощью крепежных элементов для присоединения внешних проводников. Рекомендуется использ</w:t>
      </w:r>
      <w:r>
        <w:rPr>
          <w:rFonts w:cs="Arial"/>
          <w:sz w:val="12"/>
          <w:szCs w:val="12"/>
        </w:rPr>
        <w:t xml:space="preserve">овать вместе с гибкими проводниками наконечники. Нормальное рабочее положение выключателей в пространстве - на вертикальной плоскости выводами 1, 3, 5 вверх, допускается установка на вертикальной плоскости с поворотом выводов 1, 3, 5 влево или вправо на 90</w:t>
      </w:r>
      <w:r>
        <w:rPr>
          <w:rFonts w:cs="Arial"/>
          <w:sz w:val="12"/>
          <w:szCs w:val="12"/>
          <w:vertAlign w:val="superscript"/>
        </w:rPr>
        <w:t xml:space="preserve">0</w:t>
      </w:r>
      <w:r>
        <w:rPr>
          <w:rFonts w:cs="Arial"/>
          <w:sz w:val="12"/>
          <w:szCs w:val="12"/>
        </w:rPr>
        <w:t xml:space="preserve">, при это все технические характеристики сохраняются.</w:t>
      </w:r>
      <w:r>
        <w:rPr>
          <w:rFonts w:cs="Arial"/>
          <w:sz w:val="12"/>
          <w:szCs w:val="12"/>
        </w:rPr>
        <w:t xml:space="preserve"> Выключатели допускают подвод напряжения от источника питания как со </w:t>
      </w:r>
      <w:r>
        <w:rPr>
          <w:rFonts w:cs="Arial"/>
          <w:sz w:val="12"/>
          <w:szCs w:val="12"/>
        </w:rPr>
        <w:t xml:space="preserve">стороны выводов 1, 3, 5, так и со стороны выводов 2, 4, 6. Рукоятка управления выключателя имеет три положения: «ВКЛ», «ОТКЛ», среднее положение. При первом включении и после срабатывания защитного отключения (в том числе при срабатывании независимого расц</w:t>
      </w:r>
      <w:r>
        <w:rPr>
          <w:rFonts w:cs="Arial"/>
          <w:sz w:val="12"/>
          <w:szCs w:val="12"/>
        </w:rPr>
        <w:t xml:space="preserve">епителя и расцепителя минимального напряжения) для замыкания главной контактной группы выключателя необходимо перевести рукоятку из среднего положения сначала в положение «ОТКЛ», а затем в положение «ВКЛ». В конструкции выключателя присутствует устройство </w:t>
      </w:r>
      <w:r>
        <w:rPr>
          <w:rFonts w:cs="Arial"/>
          <w:sz w:val="12"/>
          <w:szCs w:val="12"/>
        </w:rPr>
        <w:t xml:space="preserve">эксплуатационного контроля - кнопка «</w:t>
      </w:r>
      <w:r>
        <w:rPr>
          <w:rFonts w:cs="Arial"/>
          <w:sz w:val="12"/>
          <w:szCs w:val="12"/>
          <w:lang w:val="en-US"/>
        </w:rPr>
        <w:t xml:space="preserve">TRIP</w:t>
      </w:r>
      <w:r>
        <w:rPr>
          <w:rFonts w:cs="Arial"/>
          <w:sz w:val="12"/>
          <w:szCs w:val="12"/>
        </w:rPr>
        <w:t xml:space="preserve">», при нажатии на которую происход</w:t>
      </w:r>
      <w:r>
        <w:rPr>
          <w:rFonts w:cs="Arial"/>
          <w:sz w:val="12"/>
          <w:szCs w:val="12"/>
        </w:rPr>
        <w:t xml:space="preserve">ит сброс главной контактной группы (при этом рукоятка управления выключателя примет среднее положение). Межфазные перегородки, входящие в комплект поставки, необходимо обязательно устанавливать в соответствующие пазы в процессе монтажа внешних проводников.</w:t>
      </w:r>
      <w:r>
        <w:rPr>
          <w:rFonts w:cs="Arial"/>
          <w:sz w:val="12"/>
          <w:szCs w:val="12"/>
        </w:rPr>
      </w:r>
    </w:p>
    <w:p>
      <w:pPr>
        <w:ind w:left="100"/>
        <w:jc w:val="center"/>
        <w:rPr>
          <w:rFonts w:cs="Arial"/>
          <w:sz w:val="12"/>
          <w:szCs w:val="12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635" cy="1092835"/>
                <wp:effectExtent l="0" t="0" r="0" b="0"/>
                <wp:docPr id="1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0863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40.05pt;height:86.05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cs="Arial"/>
          <w:sz w:val="12"/>
          <w:szCs w:val="12"/>
        </w:rPr>
      </w:r>
    </w:p>
    <w:p>
      <w:pPr>
        <w:ind w:left="100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Рис. 4.1 Схема электрическая принципиальная выключателя ВА88</w:t>
      </w:r>
      <w:r>
        <w:rPr>
          <w:rFonts w:cs="Arial"/>
          <w:sz w:val="12"/>
          <w:szCs w:val="12"/>
        </w:rPr>
      </w:r>
    </w:p>
    <w:p>
      <w:pPr>
        <w:ind w:left="100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  <w:r>
        <w:rPr>
          <w:rFonts w:cs="Arial"/>
          <w:sz w:val="12"/>
          <w:szCs w:val="12"/>
        </w:rPr>
      </w:r>
    </w:p>
    <w:p>
      <w:pPr>
        <w:pStyle w:val="719"/>
        <w:numPr>
          <w:ilvl w:val="0"/>
          <w:numId w:val="2"/>
        </w:numPr>
        <w:spacing w:before="57"/>
        <w:tabs>
          <w:tab w:val="left" w:pos="222" w:leader="none"/>
        </w:tabs>
      </w:pPr>
      <w:r>
        <w:rPr>
          <w:color w:val="231f20"/>
          <w:spacing w:val="4"/>
        </w:rPr>
        <w:t xml:space="preserve">КОМПЛЕКТНОСТЬ</w:t>
      </w:r>
      <w:r>
        <w:rPr>
          <w:color w:val="231f20"/>
          <w:spacing w:val="4"/>
        </w:rPr>
        <w:t xml:space="preserve"> </w:t>
      </w:r>
      <w:r/>
    </w:p>
    <w:p>
      <w:pPr>
        <w:pStyle w:val="719"/>
        <w:ind w:firstLine="0"/>
        <w:spacing w:before="58"/>
        <w:tabs>
          <w:tab w:val="left" w:pos="222" w:leader="none"/>
        </w:tabs>
        <w:rPr>
          <w:b w:val="0"/>
        </w:rPr>
      </w:pPr>
      <w:r>
        <w:rPr>
          <w:b w:val="0"/>
        </w:rPr>
        <w:t xml:space="preserve">Комплект поставки приведен в таблице 5.1</w:t>
      </w:r>
      <w:r>
        <w:rPr>
          <w:b w:val="0"/>
        </w:rPr>
      </w:r>
    </w:p>
    <w:p>
      <w:pPr>
        <w:pStyle w:val="719"/>
        <w:ind w:firstLine="0"/>
        <w:spacing w:before="58"/>
        <w:tabs>
          <w:tab w:val="left" w:pos="222" w:leader="none"/>
          <w:tab w:val="left" w:pos="2558" w:leader="none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            Таблица 5.1</w:t>
      </w:r>
      <w:r>
        <w:rPr>
          <w:b w:val="0"/>
        </w:rPr>
      </w:r>
    </w:p>
    <w:p>
      <w:pPr>
        <w:pStyle w:val="719"/>
        <w:ind w:firstLine="0"/>
        <w:spacing w:before="58"/>
        <w:tabs>
          <w:tab w:val="left" w:pos="222" w:leader="none"/>
        </w:tabs>
        <w:rPr>
          <w:b w:val="0"/>
        </w:rPr>
      </w:pPr>
      <w:r>
        <w:rPr>
          <w:b w:val="0"/>
        </w:rPr>
        <w:t xml:space="preserve">              </w:t>
      </w:r>
      <w:r>
        <w:rPr>
          <w:b w:val="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17700" cy="1092835"/>
                <wp:effectExtent l="0" t="0" r="0" b="0"/>
                <wp:docPr id="13" name="Рисунок 66" descr="C:\Users\Admin\Desktop\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6" descr="C:\Users\Admin\Desktop\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91770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51.00pt;height:86.05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>
        <w:rPr>
          <w:b w:val="0"/>
        </w:rPr>
      </w:r>
    </w:p>
    <w:p>
      <w:pPr>
        <w:pStyle w:val="719"/>
        <w:numPr>
          <w:ilvl w:val="0"/>
          <w:numId w:val="2"/>
        </w:numPr>
        <w:spacing w:before="58"/>
        <w:tabs>
          <w:tab w:val="left" w:pos="222" w:leader="none"/>
        </w:tabs>
      </w:pPr>
      <w:r>
        <w:rPr>
          <w:color w:val="231f20"/>
          <w:spacing w:val="3"/>
        </w:rPr>
        <w:t xml:space="preserve">ТРЕБОВАНИЯ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 xml:space="preserve">БЕЗОПАСНОСТИ</w:t>
      </w:r>
      <w:r/>
    </w:p>
    <w:p>
      <w:pPr>
        <w:ind w:left="100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  Выключатель автоматический серии </w:t>
      </w:r>
      <w:r>
        <w:rPr>
          <w:rFonts w:cs="Arial"/>
          <w:sz w:val="12"/>
          <w:szCs w:val="12"/>
        </w:rPr>
        <w:t xml:space="preserve">ВА88</w:t>
      </w:r>
      <w:r>
        <w:rPr>
          <w:rFonts w:cs="Arial"/>
          <w:sz w:val="12"/>
          <w:szCs w:val="12"/>
        </w:rPr>
        <w:t xml:space="preserve"> по степени защиты от поражения электрическим током относиться к классу 0 согласно СТБ EN 50274-2007, предназначен для установки в оболочку, имеющую степень защиты не менее 1. Перед установкой выключателя автоматического </w:t>
      </w:r>
      <w:r>
        <w:rPr>
          <w:rFonts w:cs="Arial"/>
          <w:sz w:val="12"/>
          <w:szCs w:val="12"/>
        </w:rPr>
        <w:t xml:space="preserve">ВА88</w:t>
      </w:r>
      <w:r>
        <w:rPr>
          <w:rFonts w:cs="Arial"/>
          <w:sz w:val="12"/>
          <w:szCs w:val="12"/>
        </w:rPr>
        <w:t xml:space="preserve"> его необходимо осмотреть на наличие повреждений, произвести несколько включений и отключений выключателя. Также необходимо выполнить проверку аварийного отключения включенного выключателя путем нажатия на кнопку </w:t>
      </w:r>
      <w:r>
        <w:rPr>
          <w:rFonts w:cs="Arial"/>
          <w:sz w:val="12"/>
          <w:szCs w:val="12"/>
          <w:lang w:val="en-US"/>
        </w:rPr>
        <w:t xml:space="preserve">TRIP</w:t>
      </w:r>
      <w:r>
        <w:rPr>
          <w:rFonts w:cs="Arial"/>
          <w:sz w:val="12"/>
          <w:szCs w:val="12"/>
        </w:rPr>
        <w:t xml:space="preserve">.  В случае обнаружения повреждения корпуса автоматического выключателя, при заедании механизма расцепления или неотключении включенного выключателя при нажатии на кнопку </w:t>
      </w:r>
      <w:r>
        <w:rPr>
          <w:rFonts w:cs="Arial"/>
          <w:sz w:val="12"/>
          <w:szCs w:val="12"/>
          <w:lang w:val="en-US"/>
        </w:rPr>
        <w:t xml:space="preserve">TRIP</w:t>
      </w:r>
      <w:r>
        <w:rPr>
          <w:rFonts w:cs="Arial"/>
          <w:sz w:val="12"/>
          <w:szCs w:val="12"/>
        </w:rPr>
        <w:t xml:space="preserve">, выключатель заменить исправным. Монтаж выключателя автоматического </w:t>
      </w:r>
      <w:r>
        <w:rPr>
          <w:rFonts w:cs="Arial"/>
          <w:sz w:val="12"/>
          <w:szCs w:val="12"/>
        </w:rPr>
        <w:t xml:space="preserve">ВА88</w:t>
      </w:r>
      <w:r>
        <w:rPr>
          <w:rFonts w:cs="Arial"/>
          <w:sz w:val="12"/>
          <w:szCs w:val="12"/>
        </w:rPr>
        <w:t xml:space="preserve"> должен выполнять электротехнический персонал при соблюдении условий безопасного выполнения работ.</w:t>
      </w:r>
      <w:r>
        <w:rPr>
          <w:rFonts w:cs="Arial"/>
          <w:sz w:val="12"/>
          <w:szCs w:val="12"/>
        </w:rPr>
      </w:r>
    </w:p>
    <w:p>
      <w:pPr>
        <w:pStyle w:val="719"/>
        <w:numPr>
          <w:ilvl w:val="0"/>
          <w:numId w:val="2"/>
        </w:numPr>
        <w:spacing w:before="58"/>
        <w:tabs>
          <w:tab w:val="left" w:pos="222" w:leader="none"/>
        </w:tabs>
      </w:pPr>
      <w:r>
        <w:rPr>
          <w:color w:val="231f20"/>
          <w:spacing w:val="4"/>
        </w:rPr>
        <w:t xml:space="preserve">Условия транспортирования, хранения и утилизации.</w:t>
      </w:r>
      <w:r/>
    </w:p>
    <w:p>
      <w:pPr>
        <w:ind w:firstLine="284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Транспортирование выключателей автоматических </w:t>
      </w:r>
      <w:r>
        <w:rPr>
          <w:rFonts w:cs="Arial"/>
          <w:sz w:val="12"/>
          <w:szCs w:val="12"/>
        </w:rPr>
        <w:t xml:space="preserve">ВА88 </w:t>
      </w:r>
      <w:r>
        <w:rPr>
          <w:rFonts w:cs="Arial"/>
          <w:sz w:val="12"/>
          <w:szCs w:val="12"/>
        </w:rPr>
        <w:t xml:space="preserve">может осуществляться любым видом транспорта, обеспечивающим защиту упакованных изделий от механических воздействий и воздействий атмосферных осадков. Условия транспортировки выключателей автоматических </w:t>
      </w:r>
      <w:r>
        <w:rPr>
          <w:rFonts w:cs="Arial"/>
          <w:sz w:val="12"/>
          <w:szCs w:val="12"/>
        </w:rPr>
        <w:t xml:space="preserve">ВА88</w:t>
      </w:r>
      <w:r>
        <w:rPr>
          <w:rFonts w:cs="Arial"/>
          <w:sz w:val="12"/>
          <w:szCs w:val="12"/>
        </w:rPr>
        <w:t xml:space="preserve"> в части воздействия механических факторов относятся к категории С и Ж ГОСТ 23216-78, в части климатических факторов – к группе 4 ГОСТ 15150-69. Хранение выключателей </w:t>
      </w:r>
      <w:r>
        <w:rPr>
          <w:rFonts w:cs="Arial"/>
          <w:sz w:val="12"/>
          <w:szCs w:val="12"/>
        </w:rPr>
        <w:t xml:space="preserve">ВА88</w:t>
      </w:r>
      <w:r>
        <w:rPr>
          <w:rFonts w:cs="Arial"/>
          <w:sz w:val="12"/>
          <w:szCs w:val="12"/>
        </w:rPr>
        <w:t xml:space="preserve"> должно осуществляться в упаковке производителя в закрытых помещениях при температуре окр</w:t>
      </w:r>
      <w:r>
        <w:rPr>
          <w:rFonts w:cs="Arial"/>
          <w:sz w:val="12"/>
          <w:szCs w:val="12"/>
        </w:rPr>
        <w:t xml:space="preserve">ужающего воздуха от -45°С до +70</w:t>
      </w:r>
      <w:r>
        <w:rPr>
          <w:rFonts w:cs="Arial"/>
          <w:sz w:val="12"/>
          <w:szCs w:val="12"/>
        </w:rPr>
        <w:t xml:space="preserve">°С и относительной влажности не более 70%, при температуре хранения +25°С допускается относительная влажность 95%. Хранение выключателей </w:t>
      </w:r>
      <w:r>
        <w:rPr>
          <w:rFonts w:cs="Arial"/>
          <w:sz w:val="12"/>
          <w:szCs w:val="12"/>
        </w:rPr>
        <w:t xml:space="preserve">ВА88</w:t>
      </w:r>
      <w:r>
        <w:rPr>
          <w:rFonts w:cs="Arial"/>
          <w:sz w:val="12"/>
          <w:szCs w:val="12"/>
        </w:rPr>
        <w:t xml:space="preserve"> в части воздействия климатических факторов относится к группе 2(С) ГОСТ 15150-69.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Arial"/>
          <w:sz w:val="12"/>
          <w:szCs w:val="12"/>
        </w:rPr>
        <w:t xml:space="preserve">Автоматический выключатель </w:t>
      </w:r>
      <w:r>
        <w:rPr>
          <w:rFonts w:cs="Arial"/>
          <w:sz w:val="12"/>
          <w:szCs w:val="12"/>
        </w:rPr>
        <w:t xml:space="preserve">ВА88</w:t>
      </w:r>
      <w:r>
        <w:rPr>
          <w:rFonts w:cs="Arial"/>
          <w:sz w:val="12"/>
          <w:szCs w:val="12"/>
        </w:rPr>
        <w:t xml:space="preserve"> не подлежит специальной утилизации. Утилизация цветных металлов производится в соответствии с действующими правилами.</w:t>
      </w:r>
      <w:r>
        <w:rPr>
          <w:rFonts w:cs="Arial"/>
          <w:sz w:val="12"/>
          <w:szCs w:val="12"/>
        </w:rPr>
      </w:r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  <w:r>
        <w:rPr>
          <w:rFonts w:cs="Arial"/>
          <w:sz w:val="12"/>
          <w:szCs w:val="12"/>
        </w:rPr>
      </w:r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  <w:r>
        <w:rPr>
          <w:rFonts w:cs="Arial"/>
          <w:sz w:val="12"/>
          <w:szCs w:val="12"/>
        </w:rPr>
      </w:r>
    </w:p>
    <w:p>
      <w:pPr>
        <w:ind w:left="221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  <w:r>
        <w:rPr>
          <w:rFonts w:cs="Arial"/>
          <w:sz w:val="12"/>
          <w:szCs w:val="12"/>
        </w:rPr>
      </w:r>
    </w:p>
    <w:p>
      <w:pPr>
        <w:pStyle w:val="719"/>
        <w:numPr>
          <w:ilvl w:val="0"/>
          <w:numId w:val="2"/>
        </w:numPr>
        <w:spacing w:before="63"/>
        <w:tabs>
          <w:tab w:val="left" w:pos="222" w:leader="none"/>
        </w:tabs>
        <w:rPr>
          <w:color w:val="000000" w:themeColor="text1"/>
        </w:rPr>
      </w:pPr>
      <w:r>
        <w:rPr>
          <w:color w:val="000000" w:themeColor="text1"/>
          <w:spacing w:val="3"/>
        </w:rPr>
        <w:t xml:space="preserve">ГАРАНТИЯ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4"/>
        </w:rPr>
        <w:t xml:space="preserve">ИЗГОТОВИТЕЛЯ</w:t>
      </w:r>
      <w:r>
        <w:rPr>
          <w:color w:val="000000" w:themeColor="text1"/>
        </w:rPr>
      </w:r>
    </w:p>
    <w:p>
      <w:pPr>
        <w:ind w:firstLine="284"/>
        <w:jc w:val="both"/>
        <w:rPr>
          <w:rFonts w:cs="Arial"/>
          <w:color w:val="000000" w:themeColor="text1"/>
          <w:spacing w:val="4"/>
          <w:sz w:val="12"/>
          <w:szCs w:val="12"/>
        </w:rPr>
      </w:pPr>
      <w:r>
        <w:rPr>
          <w:rFonts w:cs="Arial"/>
          <w:color w:val="000000" w:themeColor="text1"/>
          <w:spacing w:val="4"/>
          <w:sz w:val="12"/>
          <w:szCs w:val="12"/>
        </w:rPr>
        <w:t xml:space="preserve">Гарантийный срок эксплуатации выключателя – 2 года с даты продажи. </w:t>
      </w:r>
      <w:r>
        <w:rPr>
          <w:rFonts w:cs="Arial"/>
          <w:color w:val="000000" w:themeColor="text1"/>
          <w:spacing w:val="4"/>
          <w:sz w:val="12"/>
          <w:szCs w:val="12"/>
        </w:rPr>
      </w:r>
    </w:p>
    <w:p>
      <w:pPr>
        <w:ind w:firstLine="284"/>
        <w:jc w:val="both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color w:val="000000" w:themeColor="text1"/>
          <w:sz w:val="12"/>
          <w:szCs w:val="12"/>
        </w:rPr>
        <w:t xml:space="preserve">Изготовитель гарантирует работоспособность ВА88 и соответствие технических характеристик ВА88 указанным в паспорте, в течение всего срока гарантии при соблюдении потребителем условий транспортирования, хранения и эксплуатации.</w:t>
      </w:r>
      <w:r>
        <w:rPr>
          <w:rFonts w:cs="Arial"/>
          <w:color w:val="000000" w:themeColor="text1"/>
          <w:sz w:val="12"/>
          <w:szCs w:val="12"/>
        </w:rPr>
        <w:t xml:space="preserve"> Претензии по выключателям не принимаются в случае самостоятельного ремонта изделия потребителем. </w:t>
      </w:r>
      <w:r>
        <w:rPr>
          <w:rFonts w:cs="Arial"/>
          <w:color w:val="000000" w:themeColor="text1"/>
          <w:sz w:val="12"/>
          <w:szCs w:val="12"/>
        </w:rPr>
      </w:r>
    </w:p>
    <w:p>
      <w:pPr>
        <w:ind w:firstLine="284"/>
        <w:jc w:val="both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color w:val="000000" w:themeColor="text1"/>
          <w:sz w:val="12"/>
          <w:szCs w:val="12"/>
        </w:rPr>
      </w:r>
      <w:r>
        <w:rPr>
          <w:rFonts w:cs="Arial"/>
          <w:color w:val="000000" w:themeColor="text1"/>
          <w:sz w:val="12"/>
          <w:szCs w:val="12"/>
        </w:rPr>
      </w:r>
    </w:p>
    <w:p>
      <w:pPr>
        <w:pStyle w:val="719"/>
        <w:numPr>
          <w:ilvl w:val="0"/>
          <w:numId w:val="2"/>
        </w:numPr>
        <w:ind w:left="279" w:hanging="179"/>
        <w:tabs>
          <w:tab w:val="left" w:pos="280" w:leader="none"/>
        </w:tabs>
      </w:pPr>
      <w:r>
        <w:rPr>
          <w:color w:val="231f20"/>
          <w:spacing w:val="3"/>
        </w:rPr>
        <w:t xml:space="preserve">СВИДЕТЕЛЬСТВО </w:t>
      </w:r>
      <w:r>
        <w:rPr>
          <w:color w:val="231f20"/>
        </w:rPr>
        <w:t xml:space="preserve">О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 xml:space="preserve">ПРИЕМКЕ</w:t>
      </w:r>
      <w:r/>
    </w:p>
    <w:p>
      <w:pPr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Выключатель автоматический </w:t>
      </w:r>
      <w:r>
        <w:rPr>
          <w:rFonts w:cs="Arial"/>
          <w:sz w:val="12"/>
          <w:szCs w:val="12"/>
        </w:rPr>
        <w:t xml:space="preserve">ВА88</w:t>
      </w:r>
      <w:r>
        <w:rPr>
          <w:rFonts w:cs="Arial"/>
          <w:sz w:val="12"/>
          <w:szCs w:val="12"/>
        </w:rPr>
        <w:t xml:space="preserve"> соответствует </w:t>
      </w:r>
      <w:r>
        <w:rPr>
          <w:rFonts w:cs="Arial"/>
          <w:sz w:val="12"/>
          <w:szCs w:val="12"/>
        </w:rPr>
        <w:t xml:space="preserve">                        </w:t>
      </w:r>
      <w:r>
        <w:rPr>
          <w:rFonts w:cs="Arial"/>
          <w:sz w:val="12"/>
          <w:szCs w:val="12"/>
        </w:rPr>
        <w:t xml:space="preserve">       </w:t>
      </w:r>
      <w:r>
        <w:rPr>
          <w:rFonts w:cs="Arial"/>
          <w:sz w:val="12"/>
          <w:szCs w:val="12"/>
        </w:rPr>
        <w:t xml:space="preserve">ТР ТС 004/2011 (ГОСТ Р 50345-2010, ГОСТ Р 50030.2-2010).</w:t>
      </w:r>
      <w:r>
        <w:rPr>
          <w:rFonts w:cs="Arial"/>
          <w:sz w:val="12"/>
          <w:szCs w:val="12"/>
        </w:rPr>
      </w:r>
    </w:p>
    <w:p>
      <w:pPr>
        <w:pStyle w:val="724"/>
        <w:ind w:left="0"/>
        <w:spacing w:before="7"/>
      </w:pPr>
      <w:r/>
      <w:r/>
    </w:p>
    <w:p>
      <w:pPr>
        <w:pStyle w:val="724"/>
        <w:ind w:left="156" w:right="1280"/>
        <w:jc w:val="both"/>
        <w:spacing w:before="1" w:line="501" w:lineRule="auto"/>
        <w:tabs>
          <w:tab w:val="left" w:pos="2024" w:leader="none"/>
        </w:tabs>
      </w:pPr>
      <w:r>
        <w:rPr>
          <w:color w:val="231f20"/>
        </w:rPr>
        <w:t xml:space="preserve">Дата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продажи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«</w:t>
      </w:r>
      <w:r>
        <w:rPr>
          <w:color w:val="231f20"/>
          <w:u w:val="single"/>
        </w:rPr>
        <w:t xml:space="preserve">  </w:t>
      </w:r>
      <w:r>
        <w:rPr>
          <w:color w:val="231f20"/>
          <w:spacing w:val="25"/>
          <w:u w:val="single"/>
        </w:rPr>
        <w:t xml:space="preserve"> </w:t>
      </w:r>
      <w:r>
        <w:rPr>
          <w:color w:val="231f20"/>
        </w:rPr>
        <w:t xml:space="preserve">»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</w:rPr>
        <w:t xml:space="preserve">20</w:t>
      </w:r>
      <w:r>
        <w:rPr>
          <w:color w:val="231f20"/>
          <w:u w:val="single"/>
        </w:rPr>
        <w:t xml:space="preserve"> </w:t>
      </w:r>
      <w:r>
        <w:rPr>
          <w:color w:val="231f20"/>
        </w:rPr>
        <w:t xml:space="preserve">г. Подпись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продавца</w:t>
      </w:r>
      <w:r/>
    </w:p>
    <w:p>
      <w:pPr>
        <w:pStyle w:val="724"/>
        <w:ind w:left="156"/>
        <w:jc w:val="both"/>
        <w:spacing w:before="0" w:line="137" w:lineRule="exact"/>
      </w:pPr>
      <w:r>
        <w:rPr>
          <w:color w:val="231f20"/>
        </w:rPr>
        <w:t xml:space="preserve">Печать фирмы-продавца М.П.</w:t>
      </w:r>
      <w:r/>
    </w:p>
    <w:p>
      <w:pPr>
        <w:pStyle w:val="724"/>
        <w:ind w:left="0"/>
        <w:spacing w:befor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24"/>
        <w:ind w:left="0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401" w:right="419"/>
        <w:jc w:val="center"/>
        <w:spacing w:before="29" w:line="249" w:lineRule="auto"/>
        <w:rPr>
          <w:color w:val="231f20"/>
          <w:sz w:val="11"/>
          <w:lang w:val="en-US"/>
        </w:rPr>
      </w:pPr>
      <w:r>
        <w:rPr>
          <w:color w:val="231f20"/>
          <w:sz w:val="11"/>
        </w:rPr>
        <w:t xml:space="preserve">Изготовитель</w:t>
      </w:r>
      <w:r>
        <w:rPr>
          <w:color w:val="231f20"/>
          <w:sz w:val="11"/>
          <w:lang w:val="en-US"/>
        </w:rPr>
        <w:t xml:space="preserve">: </w:t>
      </w:r>
      <w:r>
        <w:rPr>
          <w:color w:val="231f20"/>
          <w:sz w:val="11"/>
          <w:lang w:val="en-US"/>
        </w:rPr>
        <w:t xml:space="preserve">Tengen Group Co, Ltd, </w:t>
      </w:r>
      <w:r>
        <w:rPr>
          <w:color w:val="231f20"/>
          <w:sz w:val="11"/>
          <w:lang w:val="en-US"/>
        </w:rPr>
      </w:r>
    </w:p>
    <w:p>
      <w:pPr>
        <w:ind w:left="401" w:right="419"/>
        <w:jc w:val="center"/>
        <w:spacing w:before="29" w:line="249" w:lineRule="auto"/>
        <w:rPr>
          <w:sz w:val="11"/>
          <w:lang w:val="en-US"/>
        </w:rPr>
      </w:pPr>
      <w:r>
        <w:rPr>
          <w:color w:val="231f20"/>
          <w:sz w:val="11"/>
        </w:rPr>
        <w:t xml:space="preserve">Завод</w:t>
      </w:r>
      <w:r>
        <w:rPr>
          <w:color w:val="231f20"/>
          <w:sz w:val="11"/>
          <w:lang w:val="en-US"/>
        </w:rPr>
        <w:t xml:space="preserve">: Zhejiang Tengen Electrics Co., Ltd, №332, Liule Road, Liu Shi Town, Yueqing City, Zhejiang Province, </w:t>
      </w:r>
      <w:r>
        <w:rPr>
          <w:color w:val="231f20"/>
          <w:sz w:val="11"/>
        </w:rPr>
        <w:t xml:space="preserve">Китай</w:t>
      </w:r>
      <w:r>
        <w:rPr>
          <w:sz w:val="11"/>
          <w:lang w:val="en-US"/>
        </w:rPr>
      </w:r>
    </w:p>
    <w:p>
      <w:pPr>
        <w:ind w:left="417" w:right="435" w:hanging="1"/>
        <w:jc w:val="center"/>
        <w:spacing w:before="30" w:line="249" w:lineRule="auto"/>
        <w:rPr>
          <w:sz w:val="11"/>
        </w:rPr>
      </w:pPr>
      <w:r>
        <w:rPr>
          <w:color w:val="231f20"/>
          <w:sz w:val="11"/>
        </w:rPr>
        <w:t xml:space="preserve">Уполномоченное изготовителем лицо: </w:t>
      </w:r>
      <w:r>
        <w:rPr>
          <w:color w:val="231f20"/>
          <w:sz w:val="11"/>
        </w:rPr>
        <w:t xml:space="preserve">ООО "Нова систем", Республика Беларусь, 220114, г.Минск, ул. Ф.Скорины, д 14, к. 300</w:t>
      </w:r>
      <w:r>
        <w:rPr>
          <w:sz w:val="11"/>
        </w:rPr>
      </w:r>
    </w:p>
    <w:p>
      <w:pPr>
        <w:ind w:left="304" w:right="322"/>
        <w:jc w:val="center"/>
        <w:spacing w:before="34" w:line="249" w:lineRule="auto"/>
        <w:rPr>
          <w:sz w:val="11"/>
          <w:lang w:val="en-US"/>
        </w:rPr>
      </w:pPr>
      <w:r>
        <w:rPr>
          <w:color w:val="231f20"/>
          <w:sz w:val="11"/>
        </w:rPr>
        <w:t xml:space="preserve">Импортер:</w:t>
      </w:r>
      <w:r>
        <w:rPr>
          <w:color w:val="231f20"/>
          <w:spacing w:val="-16"/>
          <w:sz w:val="11"/>
        </w:rPr>
        <w:t xml:space="preserve"> </w:t>
      </w:r>
      <w:r>
        <w:rPr>
          <w:color w:val="231f20"/>
          <w:sz w:val="11"/>
        </w:rPr>
        <w:t xml:space="preserve">ООО "Нова систем", Республика Беларусь, 220114, г.Минск, ул. Ф.Скорины, д 14, к. 300</w:t>
      </w:r>
      <w:r>
        <w:rPr>
          <w:sz w:val="11"/>
          <w:lang w:val="en-US"/>
        </w:rPr>
      </w:r>
    </w:p>
    <w:p>
      <w:pPr>
        <w:pStyle w:val="724"/>
        <w:ind w:left="0"/>
      </w:pPr>
      <w:r>
        <w:rPr>
          <w:lang w:bidi="ar-SA"/>
        </w:rPr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7456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ragraph">
                  <wp:posOffset>174625</wp:posOffset>
                </wp:positionV>
                <wp:extent cx="233045" cy="233045"/>
                <wp:effectExtent l="0" t="4445" r="0" b="19685"/>
                <wp:wrapTopAndBottom/>
                <wp:docPr id="1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3045" cy="233045"/>
                          <a:chOff x="1915" y="275"/>
                          <a:chExt cx="367" cy="367"/>
                        </a:xfrm>
                      </wpg:grpSpPr>
                      <wps:wsp>
                        <wps:cNvPr id="0" name=""/>
                        <wps:cNvSpPr>
                          <a:spLocks noChangeArrowheads="1"/>
                        </wps:cNvSpPr>
                        <wps:spPr bwMode="auto">
                          <a:xfrm>
                            <a:off x="2199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220" y="315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>
                          <a:spLocks noChangeArrowheads="1"/>
                        </wps:cNvSpPr>
                        <wps:spPr bwMode="auto">
                          <a:xfrm>
                            <a:off x="2199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>
                          <a:spLocks noChangeArrowheads="1"/>
                        </wps:cNvSpPr>
                        <wps:spPr bwMode="auto">
                          <a:xfrm>
                            <a:off x="1914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>
                          <a:spLocks noChangeArrowheads="1"/>
                        </wps:cNvSpPr>
                        <wps:spPr bwMode="auto">
                          <a:xfrm>
                            <a:off x="1914" y="479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>
                          <a:spLocks noChangeArrowheads="1"/>
                        </wps:cNvSpPr>
                        <wps:spPr bwMode="auto">
                          <a:xfrm>
                            <a:off x="1914" y="437"/>
                            <a:ext cx="82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>
                          <a:spLocks noChangeArrowheads="1"/>
                        </wps:cNvSpPr>
                        <wps:spPr bwMode="auto">
                          <a:xfrm>
                            <a:off x="1914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>
                          <a:spLocks noChangeArrowheads="1"/>
                        </wps:cNvSpPr>
                        <wps:spPr bwMode="auto">
                          <a:xfrm>
                            <a:off x="1914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2057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>
                          <a:spLocks noChangeArrowheads="1"/>
                        </wps:cNvSpPr>
                        <wps:spPr bwMode="auto">
                          <a:xfrm>
                            <a:off x="2036" y="437"/>
                            <a:ext cx="123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>
                          <a:spLocks noChangeArrowheads="1"/>
                        </wps:cNvSpPr>
                        <wps:spPr bwMode="auto">
                          <a:xfrm>
                            <a:off x="2036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>
                          <a:spLocks noChangeArrowheads="1"/>
                        </wps:cNvSpPr>
                        <wps:spPr bwMode="auto">
                          <a:xfrm>
                            <a:off x="2036" y="275"/>
                            <a:ext cx="123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2138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>
                          <a:spLocks noChangeArrowheads="1"/>
                        </wps:cNvSpPr>
                        <wps:spPr bwMode="auto">
                          <a:xfrm>
                            <a:off x="2118" y="315"/>
                            <a:ext cx="41" cy="1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0000" style="position:absolute;z-index:-251667456;o:allowoverlap:true;o:allowincell:true;mso-position-horizontal-relative:page;margin-left:95.75pt;mso-position-horizontal:absolute;mso-position-vertical-relative:text;margin-top:13.75pt;mso-position-vertical:absolute;width:18.35pt;height:18.35pt;mso-wrap-distance-left:0.00pt;mso-wrap-distance-top:0.00pt;mso-wrap-distance-right:0.00pt;mso-wrap-distance-bottom:0.00pt;" coordorigin="19,2" coordsize="3,3">
                <v:shape id="shape 14" o:spid="_x0000_s14" o:spt="1" type="#_x0000_t1" style="position:absolute;left:21;top:6;width:0;height:0;visibility:visible;" fillcolor="#231F20" stroked="f">
                  <w10:wrap type="topAndBottom"/>
                </v:shape>
                <v:line id="shape 15" o:spid="_x0000_s15" style="position:absolute;left:0;text-align:left;z-index:-251667456;visibility:visible;" from="22.0pt,6.0pt" to="22.8pt,6.4pt" filled="f" strokecolor="#231F20" strokeweight="2.03pt"/>
                <v:shape id="shape 16" o:spid="_x0000_s16" o:spt="1" type="#_x0000_t1" style="position:absolute;left:21;top:2;width:0;height:0;visibility:visible;" fillcolor="#231F20" stroked="f"/>
                <v:shape id="shape 17" o:spid="_x0000_s17" o:spt="1" type="#_x0000_t1" style="position:absolute;left:19;top:6;width:0;height:0;visibility:visible;" fillcolor="#231F20" stroked="f"/>
                <v:shape id="shape 18" o:spid="_x0000_s18" o:spt="1" type="#_x0000_t1" style="position:absolute;left:19;top:4;width:0;height:1;visibility:visible;" fillcolor="#231F20" stroked="f"/>
                <v:shape id="shape 19" o:spid="_x0000_s19" o:spt="1" type="#_x0000_t1" style="position:absolute;left:19;top:4;width:0;height:0;visibility:visible;" fillcolor="#231F20" stroked="f"/>
                <v:shape id="shape 20" o:spid="_x0000_s20" o:spt="1" type="#_x0000_t1" style="position:absolute;left:19;top:3;width:0;height:1;visibility:visible;" fillcolor="#231F20" stroked="f"/>
                <v:shape id="shape 21" o:spid="_x0000_s21" o:spt="1" type="#_x0000_t1" style="position:absolute;left:19;top:2;width:0;height:0;visibility:visible;" fillcolor="#231F20" stroked="f"/>
                <v:line id="shape 22" o:spid="_x0000_s22" style="position:absolute;left:0;text-align:left;z-index:-251667456;visibility:visible;" from="19.1pt,2.8pt" to="20.0pt,3.1pt" filled="f" strokecolor="#231F20" strokeweight="2.03pt"/>
                <v:shape id="shape 23" o:spid="_x0000_s23" o:spt="1" type="#_x0000_t1" style="position:absolute;left:20;top:4;width:1;height:0;visibility:visible;" fillcolor="#231F20" stroked="f"/>
                <v:shape id="shape 24" o:spid="_x0000_s24" o:spt="1" type="#_x0000_t1" style="position:absolute;left:20;top:3;width:0;height:1;visibility:visible;" fillcolor="#231F20" stroked="f"/>
                <v:shape id="shape 25" o:spid="_x0000_s25" o:spt="1" type="#_x0000_t1" style="position:absolute;left:20;top:2;width:1;height:0;visibility:visible;" fillcolor="#231F20" stroked="f"/>
                <v:line id="shape 26" o:spid="_x0000_s26" style="position:absolute;left:0;text-align:left;z-index:-251667456;visibility:visible;" from="20.4pt,2.8pt" to="21.6pt,3.1pt" filled="f" strokecolor="#231F20" strokeweight="2.03pt"/>
                <v:shape id="shape 27" o:spid="_x0000_s27" o:spt="1" type="#_x0000_t1" style="position:absolute;left:21;top:3;width:0;height:1;visibility:visible;" fillcolor="#231F20" stroked="f"/>
              </v:group>
            </w:pict>
          </mc:Fallback>
        </mc:AlternateContent>
      </w:r>
      <w:r/>
    </w:p>
    <w:sectPr>
      <w:footerReference w:type="default" r:id="rId10"/>
      <w:footnotePr/>
      <w:endnotePr/>
      <w:type w:val="nextPage"/>
      <w:pgSz w:w="4200" w:h="5960" w:orient="portrait"/>
      <w:pgMar w:top="500" w:right="220" w:bottom="0" w:left="24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rebuchet MS">
    <w:panose1 w:val="020B0603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ind w:left="0"/>
      <w:spacing w:before="0"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1289685</wp:posOffset>
              </wp:positionH>
              <wp:positionV relativeFrom="page">
                <wp:posOffset>3587115</wp:posOffset>
              </wp:positionV>
              <wp:extent cx="85090" cy="127635"/>
              <wp:effectExtent l="381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24"/>
                            <w:ind w:left="40"/>
                            <w:spacing w:before="2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 xml:space="preserve">5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101.55pt;mso-position-horizontal:absolute;mso-position-vertical-relative:page;margin-top:282.45pt;mso-position-vertical:absolute;width:6.70pt;height:10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724"/>
                      <w:ind w:left="40"/>
                      <w:spacing w:before="2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231f20"/>
                      </w:rPr>
                      <w:t xml:space="preserve">5</w:t>
                    </w:r>
                    <w:r>
                      <w:fldChar w:fldCharType="end"/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bidi="ar-SA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ind w:left="0"/>
      <w:spacing w:before="0"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23" w:hanging="67"/>
      </w:pPr>
      <w:rPr>
        <w:rFonts w:ascii="Arial" w:hAnsi="Arial" w:eastAsia="Arial"/>
        <w:color w:val="231f20"/>
        <w:sz w:val="12"/>
        <w:szCs w:val="1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71" w:hanging="67"/>
      </w:pPr>
      <w:rPr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923" w:hanging="67"/>
      </w:pPr>
      <w:rPr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274" w:hanging="67"/>
      </w:pPr>
      <w:rPr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626" w:hanging="67"/>
      </w:pPr>
      <w:rPr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977" w:hanging="67"/>
      </w:pPr>
      <w:rPr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329" w:hanging="67"/>
      </w:pPr>
      <w:rPr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680" w:hanging="67"/>
      </w:pPr>
      <w:rPr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3032" w:hanging="67"/>
      </w:pPr>
      <w:rPr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1" w:hanging="121"/>
      </w:pPr>
      <w:rPr>
        <w:rFonts w:ascii="Arial" w:hAnsi="Arial" w:eastAsia="Arial"/>
        <w:b/>
        <w:bCs/>
        <w:color w:val="231f20"/>
        <w:spacing w:val="0"/>
        <w:sz w:val="12"/>
        <w:szCs w:val="12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>
        <w:ind w:left="100" w:hanging="164"/>
      </w:pPr>
      <w:rPr>
        <w:rFonts w:ascii="Arial" w:hAnsi="Arial" w:eastAsia="Arial"/>
        <w:color w:val="231f20"/>
        <w:sz w:val="12"/>
        <w:szCs w:val="12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610" w:hanging="164"/>
      </w:pPr>
      <w:rPr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001" w:hanging="164"/>
      </w:pPr>
      <w:rPr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391" w:hanging="164"/>
      </w:pPr>
      <w:rPr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782" w:hanging="164"/>
      </w:pPr>
      <w:rPr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172" w:hanging="164"/>
      </w:pPr>
      <w:rPr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563" w:hanging="164"/>
      </w:pPr>
      <w:rPr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2954" w:hanging="164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0"/>
    <w:link w:val="7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0"/>
    <w:link w:val="71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29"/>
    <w:uiPriority w:val="99"/>
  </w:style>
  <w:style w:type="character" w:styleId="45">
    <w:name w:val="Footer Char"/>
    <w:basedOn w:val="720"/>
    <w:link w:val="731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8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pPr>
      <w:widowControl w:val="off"/>
    </w:pPr>
    <w:rPr>
      <w:rFonts w:ascii="Arial" w:hAnsi="Arial" w:eastAsia="Arial"/>
      <w:sz w:val="22"/>
      <w:szCs w:val="22"/>
      <w:lang w:bidi="ru-RU"/>
    </w:rPr>
  </w:style>
  <w:style w:type="paragraph" w:styleId="718">
    <w:name w:val="Heading 1"/>
    <w:basedOn w:val="717"/>
    <w:pPr>
      <w:ind w:left="-240"/>
      <w:outlineLvl w:val="0"/>
    </w:pPr>
    <w:rPr>
      <w:rFonts w:ascii="Trebuchet MS" w:hAnsi="Trebuchet MS" w:eastAsia="Trebuchet MS"/>
      <w:sz w:val="20"/>
      <w:szCs w:val="20"/>
    </w:rPr>
  </w:style>
  <w:style w:type="paragraph" w:styleId="719">
    <w:name w:val="Heading 2"/>
    <w:basedOn w:val="717"/>
    <w:pPr>
      <w:ind w:left="221" w:hanging="121"/>
      <w:spacing w:before="79"/>
      <w:outlineLvl w:val="1"/>
    </w:pPr>
    <w:rPr>
      <w:b/>
      <w:bCs/>
      <w:sz w:val="12"/>
      <w:szCs w:val="12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table" w:styleId="723" w:customStyle="1">
    <w:name w:val="Table Normal"/>
    <w:semiHidden/>
    <w:pPr>
      <w:widowControl w:val="off"/>
    </w:pPr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24">
    <w:name w:val="Body Text"/>
    <w:basedOn w:val="717"/>
    <w:pPr>
      <w:ind w:left="100"/>
      <w:spacing w:before="6"/>
    </w:pPr>
    <w:rPr>
      <w:sz w:val="12"/>
      <w:szCs w:val="12"/>
    </w:rPr>
  </w:style>
  <w:style w:type="paragraph" w:styleId="725">
    <w:name w:val="List Paragraph"/>
    <w:basedOn w:val="717"/>
    <w:pPr>
      <w:ind w:left="221" w:hanging="121"/>
      <w:spacing w:before="6"/>
    </w:pPr>
  </w:style>
  <w:style w:type="paragraph" w:styleId="726" w:customStyle="1">
    <w:name w:val="Table Paragraph"/>
    <w:basedOn w:val="717"/>
    <w:pPr>
      <w:ind w:left="51" w:right="56"/>
      <w:jc w:val="center"/>
      <w:spacing w:before="22"/>
    </w:pPr>
  </w:style>
  <w:style w:type="paragraph" w:styleId="727">
    <w:name w:val="Balloon Text"/>
    <w:basedOn w:val="717"/>
    <w:link w:val="728"/>
    <w:semiHidden/>
    <w:rPr>
      <w:rFonts w:ascii="Tahoma" w:hAnsi="Tahoma"/>
      <w:sz w:val="16"/>
      <w:szCs w:val="16"/>
    </w:rPr>
  </w:style>
  <w:style w:type="character" w:styleId="728" w:customStyle="1">
    <w:name w:val="Текст выноски Знак"/>
    <w:link w:val="727"/>
    <w:semiHidden/>
    <w:rPr>
      <w:rFonts w:ascii="Tahoma" w:hAnsi="Tahoma" w:eastAsia="Arial"/>
      <w:sz w:val="16"/>
      <w:szCs w:val="16"/>
      <w:lang w:val="ru-RU" w:eastAsia="ru-RU" w:bidi="ru-RU"/>
    </w:rPr>
  </w:style>
  <w:style w:type="paragraph" w:styleId="729">
    <w:name w:val="Header"/>
    <w:basedOn w:val="717"/>
    <w:link w:val="730"/>
    <w:pPr>
      <w:tabs>
        <w:tab w:val="center" w:pos="4677" w:leader="none"/>
        <w:tab w:val="right" w:pos="9355" w:leader="none"/>
      </w:tabs>
    </w:pPr>
  </w:style>
  <w:style w:type="character" w:styleId="730" w:customStyle="1">
    <w:name w:val="Верхний колонтитул Знак"/>
    <w:link w:val="729"/>
    <w:rPr>
      <w:rFonts w:ascii="Arial" w:hAnsi="Arial" w:eastAsia="Arial"/>
      <w:sz w:val="22"/>
      <w:szCs w:val="22"/>
      <w:lang w:bidi="ru-RU"/>
    </w:rPr>
  </w:style>
  <w:style w:type="paragraph" w:styleId="731">
    <w:name w:val="Footer"/>
    <w:basedOn w:val="717"/>
    <w:link w:val="732"/>
    <w:pPr>
      <w:tabs>
        <w:tab w:val="center" w:pos="4677" w:leader="none"/>
        <w:tab w:val="right" w:pos="9355" w:leader="none"/>
      </w:tabs>
    </w:pPr>
  </w:style>
  <w:style w:type="character" w:styleId="732" w:customStyle="1">
    <w:name w:val="Нижний колонтитул Знак"/>
    <w:link w:val="731"/>
    <w:rPr>
      <w:rFonts w:ascii="Arial" w:hAnsi="Arial" w:eastAsia="Arial"/>
      <w:sz w:val="22"/>
      <w:szCs w:val="22"/>
      <w:lang w:bidi="ru-RU"/>
    </w:rPr>
  </w:style>
  <w:style w:type="character" w:styleId="733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Розум</cp:lastModifiedBy>
  <cp:revision>3</cp:revision>
  <dcterms:created xsi:type="dcterms:W3CDTF">2021-05-04T07:50:00Z</dcterms:created>
  <dcterms:modified xsi:type="dcterms:W3CDTF">2024-10-01T09:25:44Z</dcterms:modified>
</cp:coreProperties>
</file>